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55" w:rsidRDefault="00B34240">
      <w:pPr>
        <w:ind w:firstLine="720"/>
        <w:rPr>
          <w:rFonts w:ascii="Source Sans Pro" w:eastAsia="Source Sans Pro" w:hAnsi="Source Sans Pro" w:cs="Source Sans Pro"/>
          <w:sz w:val="44"/>
          <w:szCs w:val="44"/>
        </w:rPr>
      </w:pPr>
      <w:r>
        <w:rPr>
          <w:rFonts w:ascii="Source Sans Pro" w:eastAsia="Source Sans Pro" w:hAnsi="Source Sans Pro" w:cs="Source Sans Pro"/>
          <w:sz w:val="44"/>
          <w:szCs w:val="44"/>
        </w:rPr>
        <w:t xml:space="preserve">    </w:t>
      </w:r>
      <w:bookmarkStart w:id="0" w:name="_GoBack"/>
      <w:bookmarkEnd w:id="0"/>
      <w:r w:rsidR="000F7148">
        <w:rPr>
          <w:rFonts w:ascii="Source Sans Pro" w:eastAsia="Source Sans Pro" w:hAnsi="Source Sans Pro" w:cs="Source Sans Pro"/>
          <w:sz w:val="44"/>
          <w:szCs w:val="44"/>
        </w:rPr>
        <w:t>TREYNOR COMMUNITY SCHOOLS</w:t>
      </w:r>
      <w:r w:rsidR="000F7148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201295</wp:posOffset>
            </wp:positionH>
            <wp:positionV relativeFrom="paragraph">
              <wp:posOffset>-47624</wp:posOffset>
            </wp:positionV>
            <wp:extent cx="669290" cy="75501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3B55" w:rsidRDefault="00C63B55">
      <w:pPr>
        <w:jc w:val="center"/>
        <w:rPr>
          <w:rFonts w:ascii="Source Sans Pro" w:eastAsia="Source Sans Pro" w:hAnsi="Source Sans Pro" w:cs="Source Sans Pro"/>
          <w:sz w:val="28"/>
          <w:szCs w:val="28"/>
        </w:rPr>
      </w:pPr>
    </w:p>
    <w:p w:rsidR="00C63B55" w:rsidRDefault="000F7148">
      <w:pPr>
        <w:ind w:left="2160" w:firstLine="7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sz w:val="28"/>
          <w:szCs w:val="28"/>
        </w:rPr>
        <w:t>Peer Recommendation Form ~ TLC Curriculum and Professional     Development Lead (formerly TLC Coordinator)</w:t>
      </w:r>
    </w:p>
    <w:p w:rsidR="00C63B55" w:rsidRDefault="00C63B55">
      <w:pPr>
        <w:jc w:val="center"/>
      </w:pPr>
    </w:p>
    <w:p w:rsidR="00C63B55" w:rsidRDefault="000F7148">
      <w:pPr>
        <w:rPr>
          <w:rFonts w:ascii="Source Sans Pro" w:eastAsia="Source Sans Pro" w:hAnsi="Source Sans Pro" w:cs="Source Sans Pro"/>
          <w:i/>
        </w:rPr>
      </w:pPr>
      <w:r>
        <w:rPr>
          <w:i/>
        </w:rPr>
        <w:t>Thanks for taking time to complete a peer recommendation on behalf of your colleague.  Below, please find a list of the essential functions for the TLC Coordinator position.</w:t>
      </w:r>
    </w:p>
    <w:p w:rsidR="00C63B55" w:rsidRDefault="00C63B55">
      <w:pPr>
        <w:spacing w:after="200" w:line="276" w:lineRule="auto"/>
        <w:ind w:left="720"/>
        <w:rPr>
          <w:b/>
        </w:rPr>
      </w:pPr>
    </w:p>
    <w:p w:rsidR="00C63B55" w:rsidRDefault="000F7148">
      <w:pPr>
        <w:spacing w:after="200" w:line="276" w:lineRule="auto"/>
      </w:pPr>
      <w:r>
        <w:rPr>
          <w:b/>
        </w:rPr>
        <w:t xml:space="preserve">Job Description: </w:t>
      </w:r>
      <w:r>
        <w:t xml:space="preserve"> The TLC Curriculum and Professional Development Lead</w:t>
      </w:r>
      <w:r>
        <w:rPr>
          <w:b/>
        </w:rPr>
        <w:t xml:space="preserve"> </w:t>
      </w:r>
      <w:r>
        <w:t>develops t</w:t>
      </w:r>
      <w:r>
        <w:t>he collective capacity of the district to assure that all students are successful by</w:t>
      </w:r>
    </w:p>
    <w:p w:rsidR="00C63B55" w:rsidRDefault="000F7148">
      <w:pPr>
        <w:spacing w:after="60"/>
        <w:ind w:left="720"/>
      </w:pPr>
      <w:r>
        <w:t>1) Ensuring understanding and high-level implementation of adopted curriculum.</w:t>
      </w:r>
    </w:p>
    <w:p w:rsidR="00C63B55" w:rsidRDefault="000F7148">
      <w:pPr>
        <w:numPr>
          <w:ilvl w:val="0"/>
          <w:numId w:val="2"/>
        </w:numPr>
        <w:contextualSpacing/>
      </w:pPr>
      <w:r>
        <w:t>Deepening teachers’ content knowledge.</w:t>
      </w:r>
    </w:p>
    <w:p w:rsidR="00C63B55" w:rsidRDefault="000F7148">
      <w:pPr>
        <w:numPr>
          <w:ilvl w:val="0"/>
          <w:numId w:val="2"/>
        </w:numPr>
        <w:contextualSpacing/>
      </w:pPr>
      <w:r>
        <w:t>Developing teachers’ understanding of the structure o</w:t>
      </w:r>
      <w:r>
        <w:t>r organization of the curriculum.</w:t>
      </w:r>
    </w:p>
    <w:p w:rsidR="00C63B55" w:rsidRDefault="000F7148">
      <w:pPr>
        <w:numPr>
          <w:ilvl w:val="0"/>
          <w:numId w:val="2"/>
        </w:numPr>
        <w:contextualSpacing/>
      </w:pPr>
      <w:r>
        <w:t>Aligning the written, taught, and tested curriculum – “the what, the how, and the how well.”</w:t>
      </w:r>
    </w:p>
    <w:p w:rsidR="00C63B55" w:rsidRDefault="000F7148">
      <w:pPr>
        <w:numPr>
          <w:ilvl w:val="0"/>
          <w:numId w:val="2"/>
        </w:numPr>
        <w:contextualSpacing/>
      </w:pPr>
      <w:r>
        <w:t>Understanding the distinction between standards and the curriculum.</w:t>
      </w:r>
    </w:p>
    <w:p w:rsidR="00C63B55" w:rsidRDefault="000F7148">
      <w:pPr>
        <w:numPr>
          <w:ilvl w:val="0"/>
          <w:numId w:val="2"/>
        </w:numPr>
        <w:contextualSpacing/>
      </w:pPr>
      <w:r>
        <w:t>Dissecting/Unpacking standards to identify the essential know</w:t>
      </w:r>
      <w:r>
        <w:t>ledge and skills students need to achieve the standards.</w:t>
      </w:r>
    </w:p>
    <w:p w:rsidR="00C63B55" w:rsidRDefault="000F7148">
      <w:pPr>
        <w:numPr>
          <w:ilvl w:val="0"/>
          <w:numId w:val="2"/>
        </w:numPr>
        <w:contextualSpacing/>
      </w:pPr>
      <w:r>
        <w:t>Using the standards to identify learning outcomes/targets for units and lessons.</w:t>
      </w:r>
    </w:p>
    <w:p w:rsidR="00C63B55" w:rsidRDefault="000F7148">
      <w:pPr>
        <w:numPr>
          <w:ilvl w:val="0"/>
          <w:numId w:val="2"/>
        </w:numPr>
        <w:contextualSpacing/>
      </w:pPr>
      <w:r>
        <w:t>Developing units and lessons to achieve learning outcomes.</w:t>
      </w:r>
    </w:p>
    <w:p w:rsidR="00C63B55" w:rsidRDefault="000F7148">
      <w:pPr>
        <w:numPr>
          <w:ilvl w:val="0"/>
          <w:numId w:val="2"/>
        </w:numPr>
        <w:contextualSpacing/>
      </w:pPr>
      <w:r>
        <w:t>Writing benchmarks to measure progress toward the standards</w:t>
      </w:r>
      <w:r>
        <w:t>.</w:t>
      </w:r>
    </w:p>
    <w:p w:rsidR="00C63B55" w:rsidRDefault="000F7148">
      <w:pPr>
        <w:numPr>
          <w:ilvl w:val="0"/>
          <w:numId w:val="2"/>
        </w:numPr>
        <w:contextualSpacing/>
      </w:pPr>
      <w:r>
        <w:t>Identifying what to assess.</w:t>
      </w:r>
    </w:p>
    <w:p w:rsidR="00C63B55" w:rsidRDefault="000F7148">
      <w:pPr>
        <w:numPr>
          <w:ilvl w:val="0"/>
          <w:numId w:val="2"/>
        </w:numPr>
        <w:contextualSpacing/>
      </w:pPr>
      <w:r>
        <w:t>Accessing and/or writing screening, diagnostic, pre-, formative, and summative assessments.</w:t>
      </w:r>
    </w:p>
    <w:p w:rsidR="00C63B55" w:rsidRDefault="000F7148">
      <w:pPr>
        <w:numPr>
          <w:ilvl w:val="0"/>
          <w:numId w:val="2"/>
        </w:numPr>
        <w:contextualSpacing/>
      </w:pPr>
      <w:r>
        <w:t xml:space="preserve">Analyzing curricular materials to determine which parts of those </w:t>
      </w:r>
      <w:proofErr w:type="gramStart"/>
      <w:r>
        <w:t>materials  support</w:t>
      </w:r>
      <w:proofErr w:type="gramEnd"/>
      <w:r>
        <w:t xml:space="preserve"> achievement of the standards.</w:t>
      </w:r>
    </w:p>
    <w:p w:rsidR="00C63B55" w:rsidRDefault="000F7148">
      <w:pPr>
        <w:numPr>
          <w:ilvl w:val="0"/>
          <w:numId w:val="2"/>
        </w:numPr>
        <w:contextualSpacing/>
      </w:pPr>
      <w:r>
        <w:t>Integrating content-</w:t>
      </w:r>
      <w:r>
        <w:t>specific knowledge and skills within multiple disciplines to provide additional opportunities for students to practice and apply their learning.</w:t>
      </w:r>
    </w:p>
    <w:p w:rsidR="00C63B55" w:rsidRDefault="00C63B55">
      <w:pPr>
        <w:spacing w:after="60" w:line="273" w:lineRule="auto"/>
        <w:ind w:left="1440" w:hanging="720"/>
      </w:pPr>
    </w:p>
    <w:p w:rsidR="00C63B55" w:rsidRDefault="000F7148">
      <w:pPr>
        <w:spacing w:after="60"/>
      </w:pPr>
      <w:r>
        <w:t>2) Supporting teachers in analyzing, interpreting and using a variety of data to improve decision making, performance, and results at the classroom, building, and district levels.</w:t>
      </w:r>
    </w:p>
    <w:p w:rsidR="00C63B55" w:rsidRDefault="000F7148">
      <w:pPr>
        <w:numPr>
          <w:ilvl w:val="0"/>
          <w:numId w:val="4"/>
        </w:numPr>
        <w:spacing w:after="60"/>
        <w:contextualSpacing/>
      </w:pPr>
      <w:r>
        <w:t>Assists teachers in determining which data to use for what types of decision</w:t>
      </w:r>
      <w:r>
        <w:t xml:space="preserve">s.  </w:t>
      </w:r>
    </w:p>
    <w:p w:rsidR="00C63B55" w:rsidRDefault="000F7148">
      <w:pPr>
        <w:numPr>
          <w:ilvl w:val="0"/>
          <w:numId w:val="4"/>
        </w:numPr>
        <w:spacing w:after="60"/>
        <w:contextualSpacing/>
      </w:pPr>
      <w:r>
        <w:t>Assists teachers in accessing multiple forms of data (e.g., achievement, perceptual, processes, demographic, financial) and ensuring the most appropriate data to inform the improvement process.</w:t>
      </w:r>
    </w:p>
    <w:p w:rsidR="00C63B55" w:rsidRDefault="000F7148">
      <w:pPr>
        <w:numPr>
          <w:ilvl w:val="0"/>
          <w:numId w:val="4"/>
        </w:numPr>
        <w:spacing w:after="60"/>
        <w:contextualSpacing/>
      </w:pPr>
      <w:r>
        <w:t>Assists teachers in analyzing and interpreting the data.</w:t>
      </w:r>
    </w:p>
    <w:p w:rsidR="00C63B55" w:rsidRDefault="000F7148">
      <w:pPr>
        <w:numPr>
          <w:ilvl w:val="0"/>
          <w:numId w:val="4"/>
        </w:numPr>
        <w:spacing w:after="60"/>
        <w:contextualSpacing/>
      </w:pPr>
      <w:r>
        <w:t>Assists teachers in using the analyzed and interprets data in decision making and acting on their decisions.</w:t>
      </w:r>
    </w:p>
    <w:p w:rsidR="00C63B55" w:rsidRDefault="000F7148">
      <w:pPr>
        <w:numPr>
          <w:ilvl w:val="0"/>
          <w:numId w:val="4"/>
        </w:numPr>
        <w:spacing w:after="60"/>
        <w:contextualSpacing/>
      </w:pPr>
      <w:r>
        <w:t xml:space="preserve">Facilitate team, </w:t>
      </w:r>
      <w:proofErr w:type="gramStart"/>
      <w:r>
        <w:t>school-wide,</w:t>
      </w:r>
      <w:proofErr w:type="gramEnd"/>
      <w:r>
        <w:t xml:space="preserve"> and district-wide data meetings where teachers are working collaboratively to engage in analyzing and interpreting da</w:t>
      </w:r>
      <w:r>
        <w:t>ta to inform decisions that are results oriented for students’ achievement.</w:t>
      </w:r>
    </w:p>
    <w:p w:rsidR="00C63B55" w:rsidRDefault="000F7148">
      <w:pPr>
        <w:spacing w:after="60"/>
      </w:pPr>
      <w:r>
        <w:t>3) Modeling, expecting and monitoring continuous learning of all educators through quality professional learning.</w:t>
      </w:r>
    </w:p>
    <w:p w:rsidR="00C63B55" w:rsidRDefault="000F7148">
      <w:pPr>
        <w:numPr>
          <w:ilvl w:val="0"/>
          <w:numId w:val="3"/>
        </w:numPr>
        <w:spacing w:after="60"/>
        <w:contextualSpacing/>
      </w:pPr>
      <w:r>
        <w:t>Continuously learn, reflect, and improve their professional skills</w:t>
      </w:r>
      <w:r>
        <w:t>.</w:t>
      </w:r>
    </w:p>
    <w:p w:rsidR="00C63B55" w:rsidRDefault="000F7148">
      <w:pPr>
        <w:numPr>
          <w:ilvl w:val="0"/>
          <w:numId w:val="3"/>
        </w:numPr>
        <w:spacing w:after="60"/>
        <w:contextualSpacing/>
      </w:pPr>
      <w:r>
        <w:t>Participate in collaborative, sustained, job-embedded professional development aligned with student needs and district goals.</w:t>
      </w:r>
    </w:p>
    <w:p w:rsidR="00C63B55" w:rsidRDefault="000F7148">
      <w:pPr>
        <w:numPr>
          <w:ilvl w:val="1"/>
          <w:numId w:val="3"/>
        </w:numPr>
        <w:spacing w:after="60"/>
        <w:contextualSpacing/>
      </w:pPr>
      <w:r>
        <w:lastRenderedPageBreak/>
        <w:t>Informed by data.</w:t>
      </w:r>
    </w:p>
    <w:p w:rsidR="00C63B55" w:rsidRDefault="000F7148">
      <w:pPr>
        <w:numPr>
          <w:ilvl w:val="1"/>
          <w:numId w:val="3"/>
        </w:numPr>
        <w:spacing w:after="60"/>
        <w:contextualSpacing/>
      </w:pPr>
      <w:r>
        <w:t>Reflecting current research-based best practices.</w:t>
      </w:r>
    </w:p>
    <w:p w:rsidR="00C63B55" w:rsidRDefault="000F7148">
      <w:pPr>
        <w:numPr>
          <w:ilvl w:val="1"/>
          <w:numId w:val="3"/>
        </w:numPr>
        <w:spacing w:after="60"/>
        <w:contextualSpacing/>
      </w:pPr>
      <w:r>
        <w:t>Differentiated to meet individual and group needs.</w:t>
      </w:r>
    </w:p>
    <w:p w:rsidR="00C63B55" w:rsidRDefault="000F7148">
      <w:pPr>
        <w:numPr>
          <w:ilvl w:val="1"/>
          <w:numId w:val="3"/>
        </w:numPr>
        <w:spacing w:after="60"/>
        <w:contextualSpacing/>
      </w:pPr>
      <w:r>
        <w:t>Aligned with the Iowa Professional Development Model (IPDM).</w:t>
      </w:r>
    </w:p>
    <w:p w:rsidR="00C63B55" w:rsidRDefault="000F7148">
      <w:pPr>
        <w:numPr>
          <w:ilvl w:val="1"/>
          <w:numId w:val="3"/>
        </w:numPr>
        <w:spacing w:after="60"/>
        <w:contextualSpacing/>
      </w:pPr>
      <w:r>
        <w:t>Monitored for implementation.</w:t>
      </w:r>
    </w:p>
    <w:p w:rsidR="00C63B55" w:rsidRDefault="000F7148">
      <w:pPr>
        <w:numPr>
          <w:ilvl w:val="1"/>
          <w:numId w:val="3"/>
        </w:numPr>
        <w:spacing w:after="60"/>
        <w:contextualSpacing/>
      </w:pPr>
      <w:r>
        <w:t>Evaluated for impact.</w:t>
      </w:r>
    </w:p>
    <w:p w:rsidR="00C63B55" w:rsidRDefault="00C63B55">
      <w:pPr>
        <w:spacing w:after="60"/>
        <w:ind w:left="2160"/>
      </w:pPr>
    </w:p>
    <w:p w:rsidR="00C63B55" w:rsidRDefault="000F7148">
      <w:pPr>
        <w:spacing w:after="60"/>
      </w:pPr>
      <w:r>
        <w:t xml:space="preserve"> 4) Effectively and efficiently leading change while developing the capacity of others to deal with change.</w:t>
      </w:r>
    </w:p>
    <w:p w:rsidR="00C63B55" w:rsidRDefault="000F7148">
      <w:pPr>
        <w:numPr>
          <w:ilvl w:val="0"/>
          <w:numId w:val="1"/>
        </w:numPr>
        <w:spacing w:after="60"/>
        <w:contextualSpacing/>
      </w:pPr>
      <w:r>
        <w:t>Works with the superintendent/desi</w:t>
      </w:r>
      <w:r>
        <w:t>gnee to create, sustain, and support a sense of urgency to address changing conditions.</w:t>
      </w:r>
    </w:p>
    <w:p w:rsidR="00C63B55" w:rsidRDefault="000F7148">
      <w:pPr>
        <w:numPr>
          <w:ilvl w:val="0"/>
          <w:numId w:val="1"/>
        </w:numPr>
        <w:spacing w:after="60"/>
        <w:contextualSpacing/>
      </w:pPr>
      <w:r>
        <w:t>Engages staff is use of data to understand learning, teaching, and organizational needs.</w:t>
      </w:r>
    </w:p>
    <w:p w:rsidR="00C63B55" w:rsidRDefault="000F7148">
      <w:pPr>
        <w:numPr>
          <w:ilvl w:val="0"/>
          <w:numId w:val="1"/>
        </w:numPr>
        <w:spacing w:after="60"/>
        <w:contextualSpacing/>
      </w:pPr>
      <w:r>
        <w:t>Crafts an understandable message about how the proposed changes will lead to im</w:t>
      </w:r>
      <w:r>
        <w:t>provement.</w:t>
      </w:r>
    </w:p>
    <w:p w:rsidR="00C63B55" w:rsidRDefault="000F7148">
      <w:pPr>
        <w:numPr>
          <w:ilvl w:val="0"/>
          <w:numId w:val="1"/>
        </w:numPr>
        <w:spacing w:after="60"/>
        <w:contextualSpacing/>
      </w:pPr>
      <w:r>
        <w:t>Articulates change efforts that lead to improvement in ways that result in achievement of the students and the shared vision.</w:t>
      </w:r>
    </w:p>
    <w:p w:rsidR="00C63B55" w:rsidRDefault="00C63B55">
      <w:pPr>
        <w:spacing w:after="200" w:line="276" w:lineRule="auto"/>
        <w:ind w:left="720"/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C63B55">
      <w:pPr>
        <w:jc w:val="center"/>
        <w:rPr>
          <w:rFonts w:ascii="Source Sans Pro" w:eastAsia="Source Sans Pro" w:hAnsi="Source Sans Pro" w:cs="Source Sans Pro"/>
          <w:b/>
        </w:rPr>
      </w:pPr>
    </w:p>
    <w:p w:rsidR="00C63B55" w:rsidRDefault="000F7148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Peer Recommendation Form ~ TLC Curriculum and Professional Development Lead</w:t>
      </w: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0F7148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lastRenderedPageBreak/>
        <w:t>Applicant:  __________________________________</w:t>
      </w:r>
      <w:r>
        <w:rPr>
          <w:rFonts w:ascii="Source Sans Pro" w:eastAsia="Source Sans Pro" w:hAnsi="Source Sans Pro" w:cs="Source Sans Pro"/>
          <w:sz w:val="22"/>
          <w:szCs w:val="22"/>
        </w:rPr>
        <w:tab/>
        <w:t>Date: ___________________________</w:t>
      </w:r>
    </w:p>
    <w:p w:rsidR="00C63B55" w:rsidRDefault="00C63B55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C63B55" w:rsidRDefault="000F7148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rFonts w:ascii="Source Sans Pro" w:eastAsia="Source Sans Pro" w:hAnsi="Source Sans Pro" w:cs="Source Sans Pro"/>
          <w:sz w:val="22"/>
          <w:szCs w:val="22"/>
        </w:rPr>
        <w:t>Peer recommendation completed by:  _______________________________________________</w:t>
      </w:r>
    </w:p>
    <w:p w:rsidR="00C63B55" w:rsidRDefault="00C63B55">
      <w:pPr>
        <w:rPr>
          <w:rFonts w:ascii="Source Sans Pro" w:eastAsia="Source Sans Pro" w:hAnsi="Source Sans Pro" w:cs="Source Sans Pro"/>
          <w:sz w:val="22"/>
          <w:szCs w:val="22"/>
        </w:rPr>
      </w:pPr>
    </w:p>
    <w:p w:rsidR="00C63B55" w:rsidRDefault="000F7148">
      <w:pPr>
        <w:rPr>
          <w:rFonts w:ascii="Source Sans Pro" w:eastAsia="Source Sans Pro" w:hAnsi="Source Sans Pro" w:cs="Source Sans Pro"/>
          <w:sz w:val="22"/>
          <w:szCs w:val="22"/>
        </w:rPr>
      </w:pPr>
      <w:r>
        <w:rPr>
          <w:i/>
          <w:sz w:val="22"/>
          <w:szCs w:val="22"/>
        </w:rPr>
        <w:t>Please review the essential functions associated with the position and describe why you be</w:t>
      </w:r>
      <w:r>
        <w:rPr>
          <w:i/>
          <w:sz w:val="22"/>
          <w:szCs w:val="22"/>
        </w:rPr>
        <w:t>lieve the applicant is best qualified to be hired for the position. (Use multiple forms if more space is necessary.)</w:t>
      </w: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</w:rPr>
      </w:pPr>
    </w:p>
    <w:p w:rsidR="00C63B55" w:rsidRDefault="00C63B55">
      <w:pPr>
        <w:rPr>
          <w:rFonts w:ascii="Source Sans Pro" w:eastAsia="Source Sans Pro" w:hAnsi="Source Sans Pro" w:cs="Source Sans Pro"/>
          <w:u w:val="single"/>
        </w:rPr>
      </w:pPr>
    </w:p>
    <w:p w:rsidR="00C63B55" w:rsidRDefault="00C63B55">
      <w:pPr>
        <w:rPr>
          <w:rFonts w:ascii="Source Sans Pro" w:eastAsia="Source Sans Pro" w:hAnsi="Source Sans Pro" w:cs="Source Sans Pro"/>
          <w:u w:val="single"/>
        </w:rPr>
      </w:pPr>
    </w:p>
    <w:p w:rsidR="00C63B55" w:rsidRDefault="00C63B55">
      <w:pPr>
        <w:rPr>
          <w:rFonts w:ascii="Source Sans Pro" w:eastAsia="Source Sans Pro" w:hAnsi="Source Sans Pro" w:cs="Source Sans Pro"/>
          <w:u w:val="single"/>
        </w:rPr>
      </w:pPr>
    </w:p>
    <w:p w:rsidR="00C63B55" w:rsidRDefault="00C63B55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  <w:bookmarkStart w:id="1" w:name="_gjdgxs" w:colFirst="0" w:colLast="0"/>
      <w:bookmarkEnd w:id="1"/>
    </w:p>
    <w:p w:rsidR="00C63B55" w:rsidRDefault="00C63B55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</w:p>
    <w:p w:rsidR="00C63B55" w:rsidRDefault="000F7148">
      <w:pPr>
        <w:rPr>
          <w:rFonts w:ascii="Source Sans Pro" w:eastAsia="Source Sans Pro" w:hAnsi="Source Sans Pro" w:cs="Source Sans Pro"/>
          <w:sz w:val="22"/>
          <w:szCs w:val="22"/>
          <w:u w:val="single"/>
        </w:rPr>
      </w:pPr>
      <w:r>
        <w:rPr>
          <w:rFonts w:ascii="Source Sans Pro" w:eastAsia="Source Sans Pro" w:hAnsi="Source Sans Pro" w:cs="Source Sans Pro"/>
          <w:sz w:val="22"/>
          <w:szCs w:val="22"/>
          <w:u w:val="single"/>
        </w:rPr>
        <w:t>Peer recommendation submission:</w:t>
      </w:r>
    </w:p>
    <w:p w:rsidR="00C63B55" w:rsidRDefault="00C63B55">
      <w:pPr>
        <w:rPr>
          <w:rFonts w:ascii="Source Sans Pro" w:eastAsia="Source Sans Pro" w:hAnsi="Source Sans Pro" w:cs="Source Sans Pro"/>
          <w:u w:val="single"/>
        </w:rPr>
      </w:pPr>
    </w:p>
    <w:p w:rsidR="00C63B55" w:rsidRDefault="000F7148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Submit your peer recommendation to:</w:t>
      </w:r>
    </w:p>
    <w:p w:rsidR="00C63B55" w:rsidRDefault="00C63B55">
      <w:pPr>
        <w:ind w:left="1440"/>
        <w:rPr>
          <w:rFonts w:ascii="Calibri" w:eastAsia="Calibri" w:hAnsi="Calibri" w:cs="Calibri"/>
          <w:sz w:val="20"/>
          <w:szCs w:val="20"/>
        </w:rPr>
      </w:pPr>
    </w:p>
    <w:p w:rsidR="00C63B55" w:rsidRDefault="000F7148">
      <w:pPr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Lou Howell, Superintendent</w:t>
      </w:r>
    </w:p>
    <w:p w:rsidR="00C63B55" w:rsidRDefault="000F7148">
      <w:pPr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Treynor Community Schools</w:t>
      </w:r>
    </w:p>
    <w:p w:rsidR="00C63B55" w:rsidRDefault="000F7148">
      <w:pPr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 Box 369</w:t>
      </w:r>
    </w:p>
    <w:p w:rsidR="00C63B55" w:rsidRDefault="000F7148">
      <w:pPr>
        <w:spacing w:after="12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Treynor, IA  51575</w:t>
      </w:r>
    </w:p>
    <w:p w:rsidR="00C63B55" w:rsidRDefault="000F7148">
      <w:pPr>
        <w:ind w:left="144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Electronic submissions can be sent to: lhowell@treynorcardinals.org</w:t>
      </w:r>
    </w:p>
    <w:p w:rsidR="00C63B55" w:rsidRDefault="00C63B55">
      <w:pPr>
        <w:rPr>
          <w:rFonts w:ascii="Calibri" w:eastAsia="Calibri" w:hAnsi="Calibri" w:cs="Calibri"/>
          <w:i/>
          <w:sz w:val="20"/>
          <w:szCs w:val="20"/>
        </w:rPr>
      </w:pPr>
    </w:p>
    <w:p w:rsidR="00C63B55" w:rsidRDefault="000F7148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*Peer recommendations must come from current Treynor teachers.  Peer recommendation forms for each position are available on the </w:t>
      </w:r>
      <w:r>
        <w:rPr>
          <w:rFonts w:ascii="Calibri" w:eastAsia="Calibri" w:hAnsi="Calibri" w:cs="Calibri"/>
          <w:i/>
          <w:sz w:val="20"/>
          <w:szCs w:val="20"/>
        </w:rPr>
        <w:t xml:space="preserve">District website.  If interested in applying for both the TLC Coordinator position and an Instructional Coach position, please submit just one peer recommendation form for each position. </w:t>
      </w:r>
    </w:p>
    <w:sectPr w:rsidR="00C63B55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99D"/>
    <w:multiLevelType w:val="multilevel"/>
    <w:tmpl w:val="376EBF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A96368"/>
    <w:multiLevelType w:val="multilevel"/>
    <w:tmpl w:val="B64AD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C40CC1"/>
    <w:multiLevelType w:val="multilevel"/>
    <w:tmpl w:val="EDD24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903BDD"/>
    <w:multiLevelType w:val="multilevel"/>
    <w:tmpl w:val="900A7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7FF3FB4"/>
    <w:multiLevelType w:val="multilevel"/>
    <w:tmpl w:val="439C2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3B55"/>
    <w:rsid w:val="000F7148"/>
    <w:rsid w:val="00B34240"/>
    <w:rsid w:val="00C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Howell</dc:creator>
  <cp:lastModifiedBy>Lou Howell</cp:lastModifiedBy>
  <cp:revision>3</cp:revision>
  <cp:lastPrinted>2018-03-29T18:58:00Z</cp:lastPrinted>
  <dcterms:created xsi:type="dcterms:W3CDTF">2018-03-29T18:58:00Z</dcterms:created>
  <dcterms:modified xsi:type="dcterms:W3CDTF">2018-03-29T18:59:00Z</dcterms:modified>
</cp:coreProperties>
</file>